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Massaggio Esclusivo 2</w:t>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Arial" w:cs="Arial" w:hAnsi="Arial" w:eastAsia="Arial"/>
          <w:lang w:val="en-US"/>
        </w:rPr>
      </w:pPr>
      <w:r>
        <w:rPr>
          <w:rFonts w:ascii="Arial" w:hAnsi="Arial"/>
          <w:rtl w:val="0"/>
          <w:lang w:val="en-US"/>
        </w:rPr>
        <w:t>The Massaggio Esclusivo 2 massage chair is the second, improved variant of the bestselling model, which has been equipped with a number of innovative technologies ensuring a relaxing massage and pleasant respite. Combined with an attractive, futuristic design in two classic colour versions, they form this unique model that contributes to an even greater sense of comfort and relaxation. Massaggio Esclusivo 2 offers such functionalities as Zero Gravity, SL-shape or the phenomenal leg massage with the calf kneading massage available for the first time. A number of add-ons such as back heating, an air ioniser and a music player enhance the massage experience, while English voice control, intuitive remote control and a handy built-in panel make it easy to access the massage chair's essential functionalities. To sum up, Massaggio Esclusivo 2 is therefore the perfect choice for people who care about extensive massage and modern, futuristic design.</w:t>
      </w:r>
    </w:p>
    <w:p>
      <w:pPr>
        <w:pStyle w:val="Domyślne A"/>
        <w:spacing w:before="0" w:line="400" w:lineRule="atLeast"/>
        <w:jc w:val="both"/>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Key features of Massaggio Esclusivo 2</w:t>
      </w: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8 automatic programmes, 5 manual techniques, 5 speeds and 3 width adjustment levels, 3 levels of air massage intensity, 3 levels of heating.</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Zero Gravity - arranging the body in this comfortable position reduces strain on muscles and joints, increasing the effectiveness and pleasure of the massage.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SL-shape - the massage range extends from the neck to the thighs. Appropriately profiled linear guide of the massager allows for its ideal alignment with the natural shape of the spine.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Leg massage - rollers and airbags relax the feet, and for the first time there is a kneading massage for the calves that successfully removes any accumulated tension.</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Zero Wall - the massage chair automatically moves away from the wall when reclining, saving space.</w:t>
      </w:r>
    </w:p>
    <w:p>
      <w:pPr>
        <w:pStyle w:val="Domyślne A"/>
        <w:spacing w:before="0" w:line="400" w:lineRule="atLeast"/>
        <w:ind w:left="720" w:firstLine="0"/>
        <w:jc w:val="both"/>
        <w:rPr>
          <w:rFonts w:ascii="Arial" w:cs="Arial" w:hAnsi="Arial" w:eastAsia="Arial"/>
          <w:lang w:val="en-US"/>
        </w:rPr>
      </w:pPr>
    </w:p>
    <w:p>
      <w:pPr>
        <w:pStyle w:val="Domyślne A"/>
        <w:spacing w:before="0" w:line="400" w:lineRule="atLeast"/>
        <w:ind w:left="720" w:firstLine="0"/>
        <w:jc w:val="both"/>
        <w:rPr>
          <w:rFonts w:ascii="Arial" w:cs="Arial" w:hAnsi="Arial" w:eastAsia="Arial"/>
          <w:lang w:val="en-US"/>
        </w:rPr>
      </w:pPr>
    </w:p>
    <w:p>
      <w:pPr>
        <w:pStyle w:val="Domyślne A"/>
        <w:spacing w:before="0" w:line="400" w:lineRule="atLeast"/>
        <w:ind w:left="720" w:firstLine="0"/>
        <w:jc w:val="both"/>
        <w:rPr>
          <w:rFonts w:ascii="Arial" w:cs="Arial" w:hAnsi="Arial" w:eastAsia="Arial"/>
          <w:lang w:val="en-US"/>
        </w:rPr>
      </w:pPr>
    </w:p>
    <w:p>
      <w:pPr>
        <w:pStyle w:val="Domyślne A"/>
        <w:spacing w:before="0" w:line="400" w:lineRule="atLeast"/>
        <w:ind w:left="720" w:firstLine="0"/>
        <w:jc w:val="both"/>
        <w:rPr>
          <w:rFonts w:ascii="Arial" w:cs="Arial" w:hAnsi="Arial" w:eastAsia="Arial"/>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Esclusivo 2</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- 198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 - 150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- 85 cm x 111 cm x 156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the horizontal position - 85 cm x 103 cm x 181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packaging boxes</w:t>
      </w:r>
      <w:r>
        <w:rPr>
          <w:rFonts w:ascii="Arial" w:hAnsi="Arial" w:hint="default"/>
          <w:rtl w:val="0"/>
          <w:lang w:val="en-US"/>
        </w:rPr>
        <w:t xml:space="preserve">  </w:t>
      </w:r>
      <w:r>
        <w:rPr>
          <w:rFonts w:ascii="Arial" w:hAnsi="Arial"/>
          <w:rtl w:val="0"/>
          <w:lang w:val="en-US"/>
        </w:rPr>
        <w:t>- box 1 - 77 cm x 95 cm x 152 cm (W x H x L)</w:t>
      </w:r>
      <w:r>
        <w:rPr>
          <w:rFonts w:ascii="Arial" w:cs="Arial" w:hAnsi="Arial" w:eastAsia="Arial"/>
          <w:lang w:val="en-US"/>
        </w:rPr>
        <w:br w:type="textWrapping"/>
      </w:r>
      <w:r>
        <w:rPr>
          <w:rFonts w:ascii="Arial" w:hAnsi="Arial"/>
          <w:rtl w:val="0"/>
          <w:lang w:val="en-US"/>
        </w:rPr>
        <w:t>- box 2 - 40 cm x 90 cm x 129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- 51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 brown-grey, ecru</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- 120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- 150 W</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Operating noise - &lt;60 dB</w:t>
      </w:r>
    </w:p>
    <w:p>
      <w:pPr>
        <w:pStyle w:val="Domyślne A"/>
        <w:spacing w:before="0" w:line="240" w:lineRule="auto"/>
        <w:jc w:val="both"/>
      </w:pPr>
      <w:r>
        <w:rPr>
          <w:rFonts w:ascii="Times New Roman" w:cs="Times New Roman" w:hAnsi="Times New Roman" w:eastAsia="Times New Roman"/>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